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8"/>
        <w:gridCol w:w="685"/>
        <w:gridCol w:w="889"/>
        <w:gridCol w:w="143"/>
        <w:gridCol w:w="1014"/>
        <w:gridCol w:w="826"/>
        <w:gridCol w:w="60"/>
        <w:gridCol w:w="166"/>
        <w:gridCol w:w="213"/>
        <w:gridCol w:w="672"/>
        <w:gridCol w:w="166"/>
        <w:gridCol w:w="893"/>
        <w:gridCol w:w="427"/>
        <w:gridCol w:w="38"/>
        <w:gridCol w:w="553"/>
        <w:gridCol w:w="509"/>
        <w:gridCol w:w="357"/>
        <w:gridCol w:w="48"/>
        <w:gridCol w:w="1142"/>
      </w:tblGrid>
      <w:tr w:rsidR="00485EE0" w:rsidRPr="00485EE0" w14:paraId="57FB75AE" w14:textId="77777777" w:rsidTr="00BE12B7">
        <w:trPr>
          <w:trHeight w:val="304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77C5537B" w:rsidR="00485EE0" w:rsidRPr="00D8451E" w:rsidRDefault="006C3D45" w:rsidP="00FE2CC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مقرر</w:t>
            </w:r>
            <w:proofErr w:type="gramEnd"/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</w:t>
            </w:r>
            <w:r w:rsidR="0035338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</w:t>
            </w:r>
            <w:r w:rsidR="00FE2CC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6E247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ن</w:t>
            </w:r>
            <w:r w:rsidR="00FE2CC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قد</w:t>
            </w:r>
            <w:r w:rsidR="006E247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أدبي قديم</w:t>
            </w:r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1</w:t>
            </w:r>
          </w:p>
        </w:tc>
      </w:tr>
      <w:tr w:rsidR="00540920" w:rsidRPr="00485EE0" w14:paraId="47A61290" w14:textId="77777777" w:rsidTr="00BE12B7">
        <w:trPr>
          <w:trHeight w:val="304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776160D3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</w:t>
            </w:r>
            <w:r w:rsidR="00353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عرف على الماد</w:t>
            </w:r>
            <w:r w:rsidR="00353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ة الت</w:t>
            </w:r>
            <w:r w:rsidR="00353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</w:p>
        </w:tc>
      </w:tr>
      <w:tr w:rsidR="00540920" w:rsidRPr="00485EE0" w14:paraId="2E870388" w14:textId="77777777" w:rsidTr="00BE12B7">
        <w:trPr>
          <w:trHeight w:val="279"/>
        </w:trPr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254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219A2664" w:rsidR="00540920" w:rsidRPr="007864D0" w:rsidRDefault="00FE2CC1" w:rsidP="00FE2CC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نقد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أدبي قديم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BE12B7">
        <w:trPr>
          <w:trHeight w:val="514"/>
        </w:trPr>
        <w:tc>
          <w:tcPr>
            <w:tcW w:w="1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9F401E" w14:textId="57D83891" w:rsidR="00540920" w:rsidRPr="00540920" w:rsidRDefault="00FE2CC1" w:rsidP="00353388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و.ت.أس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  <w:r w:rsidR="0035338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1.1.1</w:t>
            </w:r>
          </w:p>
        </w:tc>
        <w:tc>
          <w:tcPr>
            <w:tcW w:w="7254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BE12B7">
        <w:trPr>
          <w:trHeight w:val="279"/>
        </w:trPr>
        <w:tc>
          <w:tcPr>
            <w:tcW w:w="12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2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54409E9C" w:rsidR="00540920" w:rsidRPr="007864D0" w:rsidRDefault="00FE2CC1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BE12B7">
        <w:trPr>
          <w:trHeight w:val="279"/>
        </w:trPr>
        <w:tc>
          <w:tcPr>
            <w:tcW w:w="12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2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151C7534" w:rsidR="00540920" w:rsidRPr="007864D0" w:rsidRDefault="00FE2CC1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BE12B7">
        <w:trPr>
          <w:trHeight w:val="279"/>
        </w:trPr>
        <w:tc>
          <w:tcPr>
            <w:tcW w:w="12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2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BE12B7">
        <w:trPr>
          <w:trHeight w:val="279"/>
        </w:trPr>
        <w:tc>
          <w:tcPr>
            <w:tcW w:w="12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2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BE12B7">
        <w:trPr>
          <w:trHeight w:val="381"/>
        </w:trPr>
        <w:tc>
          <w:tcPr>
            <w:tcW w:w="4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2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BE12B7">
        <w:trPr>
          <w:trHeight w:val="7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التقارير المخبرية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BE12B7">
        <w:trPr>
          <w:trHeight w:val="7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4BF52054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6BEC52F5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45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44EAA75B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14:paraId="39AF4136" w14:textId="77777777" w:rsidTr="00BE12B7">
        <w:trPr>
          <w:trHeight w:val="1375"/>
        </w:trPr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F116D2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0A20FEEC" w:rsidR="00F12901" w:rsidRPr="007864D0" w:rsidRDefault="00F116D2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F116D2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BE12B7">
        <w:trPr>
          <w:trHeight w:val="1617"/>
        </w:trPr>
        <w:tc>
          <w:tcPr>
            <w:tcW w:w="73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F116D2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F116D2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F116D2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6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BE12B7">
        <w:trPr>
          <w:trHeight w:val="624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BE12B7">
        <w:trPr>
          <w:trHeight w:val="391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</w:tr>
      <w:tr w:rsidR="00F12901" w:rsidRPr="006C3D45" w14:paraId="16B286E5" w14:textId="77777777" w:rsidTr="00BE12B7">
        <w:trPr>
          <w:trHeight w:val="391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</w:tr>
      <w:tr w:rsidR="00F12901" w:rsidRPr="006C3D45" w14:paraId="30B011BC" w14:textId="77777777" w:rsidTr="00BE12B7">
        <w:trPr>
          <w:trHeight w:val="391"/>
        </w:trPr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1CFEE6AC" w:rsidR="00882688" w:rsidRPr="006C3D45" w:rsidRDefault="00061144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الاطّلاع على </w:t>
            </w:r>
            <w:r w:rsidR="00FE2CC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النّقد الأدب</w:t>
            </w:r>
            <w:r w:rsidR="00353388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ي</w:t>
            </w:r>
            <w:r w:rsidR="00FE2CC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العربي القديم في شكله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الانطباعي والمنهجي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وتكوين معارف تاريخية ولغوية وبلاغية أساسية في </w:t>
            </w:r>
            <w:r w:rsidR="00FE2CC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تطوير وعيه النّقد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ي</w:t>
            </w:r>
            <w:r w:rsidR="00FE2CC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، والاطّلاع على مختلف المصنّفات والأعلام والقضايا في النّقد العربي القديم </w:t>
            </w:r>
            <w:r w:rsidR="007864D0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</w:p>
        </w:tc>
      </w:tr>
      <w:tr w:rsidR="00F76D92" w:rsidRPr="00485EE0" w14:paraId="7A3CCA24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FADB8E" w14:textId="79E41FB6" w:rsidR="00F76D92" w:rsidRPr="007864D0" w:rsidRDefault="00061144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تطوير </w:t>
            </w:r>
            <w:proofErr w:type="gramStart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وعي</w:t>
            </w:r>
            <w:proofErr w:type="gramEnd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نقدي بمختلف الن</w:t>
            </w:r>
            <w:r w:rsidR="00353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صوص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0C00B42A" w14:textId="6DEE62C4" w:rsidR="00061144" w:rsidRPr="007864D0" w:rsidRDefault="00061144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التّفكير النّقدي </w:t>
            </w:r>
            <w:proofErr w:type="gramStart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والقراءة</w:t>
            </w:r>
            <w:proofErr w:type="gramEnd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السليمة </w:t>
            </w:r>
          </w:p>
          <w:p w14:paraId="13204F9D" w14:textId="67BD3175" w:rsidR="009A439A" w:rsidRPr="007864D0" w:rsidRDefault="00061144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إدراك مختلف قضايا الحركة النّقدية ومعرفة كبار النّقاد </w:t>
            </w:r>
            <w:proofErr w:type="gramStart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وإسهاماتهم</w:t>
            </w:r>
            <w:proofErr w:type="gramEnd"/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2D477101" w14:textId="77777777" w:rsidR="00061144" w:rsidRDefault="007864D0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على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نقد النّصوص </w:t>
            </w:r>
          </w:p>
          <w:p w14:paraId="0923B574" w14:textId="2FBA198B" w:rsidR="00FE2CC1" w:rsidRPr="007864D0" w:rsidRDefault="00FE2CC1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التّحقيب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التّاريخي لمراحل الثّقافة العربية </w:t>
            </w:r>
          </w:p>
        </w:tc>
      </w:tr>
      <w:tr w:rsidR="00875859" w:rsidRPr="00485EE0" w14:paraId="753C39A3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3FA1710B" w:rsidR="00875859" w:rsidRPr="00232A32" w:rsidRDefault="00875859" w:rsidP="00FE2CC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لماد</w:t>
            </w:r>
            <w:r w:rsidR="0035338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 </w:t>
            </w:r>
            <w:r w:rsidR="00FE2CC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</w:t>
            </w:r>
            <w:r w:rsidR="00FE2CC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قد أدبي</w:t>
            </w:r>
            <w:r w:rsidR="00061144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قديم</w:t>
            </w:r>
            <w:r w:rsid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1</w:t>
            </w:r>
          </w:p>
        </w:tc>
      </w:tr>
      <w:tr w:rsidR="00875859" w:rsidRPr="00485EE0" w14:paraId="0C55D63F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3E1F23DA" w:rsidR="00875859" w:rsidRPr="007864D0" w:rsidRDefault="00E95A3E" w:rsidP="00FE2CC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المعارف الأولية القاعدية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النّقد العربي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القديم </w:t>
            </w:r>
            <w:proofErr w:type="gramStart"/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وإدراك</w:t>
            </w:r>
            <w:proofErr w:type="gramEnd"/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أهم القضايا التي كانت محور هذا المسلك البحثي </w:t>
            </w:r>
          </w:p>
        </w:tc>
      </w:tr>
      <w:tr w:rsidR="00F12901" w:rsidRPr="00485EE0" w14:paraId="747374DC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7822FC3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14:paraId="020D49C3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121F2256" w:rsidR="00F12901" w:rsidRPr="007864D0" w:rsidRDefault="00FE2CC1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مفهوم النّقد- أعلام النّقد القديم- المصنّفات النّقدية القديمة- النقد الانطباعي- أثر القرآن الكريم- المعايير النّقدية-قضايا النقد القديم؛ الانتحال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اللّفظ والمعنى- الفحول- عمود الشعر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الصدق الفنّي- الموازنات الشعرية النقد البلاغي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F12901" w:rsidRPr="00485EE0" w14:paraId="14672556" w14:textId="77777777" w:rsidTr="00BE12B7">
        <w:trPr>
          <w:trHeight w:val="279"/>
        </w:trPr>
        <w:tc>
          <w:tcPr>
            <w:tcW w:w="10042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3D5CFF0A" w:rsidR="00F12901" w:rsidRPr="00F12901" w:rsidRDefault="00F12901" w:rsidP="00FE2CC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نقد</w:t>
            </w:r>
            <w:proofErr w:type="gramEnd"/>
            <w:r w:rsidR="009A439A" w:rsidRPr="0006114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أدبي قديم</w:t>
            </w:r>
            <w:r w:rsidR="009A439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FE2CC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1</w:t>
            </w:r>
          </w:p>
        </w:tc>
      </w:tr>
      <w:tr w:rsidR="00F12901" w:rsidRPr="00485EE0" w14:paraId="4CFE9170" w14:textId="77777777" w:rsidTr="00BE12B7">
        <w:trPr>
          <w:trHeight w:val="912"/>
        </w:trPr>
        <w:tc>
          <w:tcPr>
            <w:tcW w:w="10042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84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214"/>
              <w:gridCol w:w="628"/>
            </w:tblGrid>
            <w:tr w:rsidR="00FE2CC1" w:rsidRPr="00CE59F4" w14:paraId="11DEB54F" w14:textId="77777777" w:rsidTr="00BE12B7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  <w:vAlign w:val="center"/>
                </w:tcPr>
                <w:p w14:paraId="1B3B7A18" w14:textId="7D1D50F9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النّقد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العربي؛ مفهومه وتطوّره وأعلامه في المشرق والمغرب العربي 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2C718D03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FE2CC1" w:rsidRPr="00CE59F4" w14:paraId="6D5F5451" w14:textId="77777777" w:rsidTr="00BE12B7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E1005" w14:textId="68B85A23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تراجم أعلام النّقد في المشرق والمغرب العربي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والأندلس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53C7A191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FE2CC1" w:rsidRPr="00CE59F4" w14:paraId="75B0AABA" w14:textId="77777777" w:rsidTr="00BE12B7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  <w:vAlign w:val="center"/>
                </w:tcPr>
                <w:p w14:paraId="3C4A7BB4" w14:textId="0366F052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المصنّفات النّقدية في المشرق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والمغرب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العربي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61094936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FE2CC1" w:rsidRPr="00CE59F4" w14:paraId="45F3EB5D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774BE415" w14:textId="1F1E3A14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النّقد الانطباعي؛ مفهومه ومجالاته ونماذج من نصوصه ( أمّ جندب، النّابغة الذبياني)</w:t>
                  </w:r>
                </w:p>
              </w:tc>
              <w:tc>
                <w:tcPr>
                  <w:tcW w:w="319" w:type="pct"/>
                  <w:vAlign w:val="center"/>
                </w:tcPr>
                <w:p w14:paraId="3238BE93" w14:textId="10786F20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FE2CC1" w:rsidRPr="00CE59F4" w14:paraId="76186AF6" w14:textId="77777777" w:rsidTr="00BE12B7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  <w:vAlign w:val="center"/>
                </w:tcPr>
                <w:p w14:paraId="1FE2FB0D" w14:textId="65A6E542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أثر القرآن الكريم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في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تطوّر الآراء النّقدية القديمة 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3579E214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FE2CC1" w:rsidRPr="00CE59F4" w14:paraId="2938058A" w14:textId="77777777" w:rsidTr="00BE12B7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  <w:vAlign w:val="center"/>
                </w:tcPr>
                <w:p w14:paraId="7DCD347B" w14:textId="4EB60691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المعايير النّقدية في كتاب طبقات فحول الشعراء لابن سلّام الجمحي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61C5D6C5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FE2CC1" w:rsidRPr="00CE59F4" w14:paraId="1527AAD6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FE5D1DB" w14:textId="3826D09A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قضية الانتحال وتأصيل الشعر (ابن سلّام، عبد العزيز الجرجاني، أبو هلال العسكري . نماذج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نصية  من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المشرق والمغرب العربي )</w:t>
                  </w:r>
                </w:p>
              </w:tc>
              <w:tc>
                <w:tcPr>
                  <w:tcW w:w="319" w:type="pct"/>
                  <w:vAlign w:val="center"/>
                </w:tcPr>
                <w:p w14:paraId="60A781B3" w14:textId="4463489F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FE2CC1" w:rsidRPr="00CE59F4" w14:paraId="58CC3627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76214640" w14:textId="441D7B50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قضية الفحولة عند النّقاد (الجاحظ ...</w:t>
                  </w:r>
                </w:p>
              </w:tc>
              <w:tc>
                <w:tcPr>
                  <w:tcW w:w="319" w:type="pct"/>
                  <w:vAlign w:val="center"/>
                </w:tcPr>
                <w:p w14:paraId="5E50B212" w14:textId="1EB08D16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FE2CC1" w:rsidRPr="00CE59F4" w14:paraId="70B422E2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58BE96F9" w14:textId="3A107DF6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lastRenderedPageBreak/>
                    <w:t>قضية عمود الشعر (المرزوقي)</w:t>
                  </w:r>
                </w:p>
              </w:tc>
              <w:tc>
                <w:tcPr>
                  <w:tcW w:w="319" w:type="pct"/>
                  <w:vAlign w:val="center"/>
                </w:tcPr>
                <w:p w14:paraId="7EDC9E5C" w14:textId="75910D77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FE2CC1" w:rsidRPr="00CE59F4" w14:paraId="4D633104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3DC95C6F" w14:textId="25BD0E4D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قضية اللّفظ والمعنى عند ابن قتيبة وابن </w:t>
                  </w:r>
                  <w:proofErr w:type="spell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طباطبا</w:t>
                  </w:r>
                  <w:proofErr w:type="spell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وقدامه بن جعفر </w:t>
                  </w:r>
                </w:p>
              </w:tc>
              <w:tc>
                <w:tcPr>
                  <w:tcW w:w="319" w:type="pct"/>
                  <w:vAlign w:val="center"/>
                </w:tcPr>
                <w:p w14:paraId="4817A008" w14:textId="22B2BB54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FE2CC1" w:rsidRPr="00CE59F4" w14:paraId="657D2F09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3817897" w14:textId="60DA61D5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قضية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اللّفظ والمعنى عند ابن رشيق القيرواني/ المقْري</w:t>
                  </w:r>
                </w:p>
              </w:tc>
              <w:tc>
                <w:tcPr>
                  <w:tcW w:w="319" w:type="pct"/>
                  <w:vAlign w:val="center"/>
                </w:tcPr>
                <w:p w14:paraId="7BEA459A" w14:textId="70EBDCC5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FE2CC1" w:rsidRPr="00CE59F4" w14:paraId="1E966A00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3577F59A" w14:textId="34E81B9F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قضية الصدق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(نماذج  من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المشرق والأندلس والمغرب العربي)</w:t>
                  </w:r>
                </w:p>
              </w:tc>
              <w:tc>
                <w:tcPr>
                  <w:tcW w:w="319" w:type="pct"/>
                  <w:vAlign w:val="center"/>
                </w:tcPr>
                <w:p w14:paraId="3B2F3F26" w14:textId="38FBF878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FE2CC1" w:rsidRPr="00CE59F4" w14:paraId="1711E041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015021C" w14:textId="4778642D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الموازنات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النّقدية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(نماذج نصية من المشرق والأندلس والمغرب العربي)</w:t>
                  </w:r>
                </w:p>
              </w:tc>
              <w:tc>
                <w:tcPr>
                  <w:tcW w:w="319" w:type="pct"/>
                  <w:vAlign w:val="center"/>
                </w:tcPr>
                <w:p w14:paraId="7AAE9833" w14:textId="5615DEE6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FE2CC1" w:rsidRPr="00CE59F4" w14:paraId="67A93090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27A0828B" w14:textId="70A7DBC6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نظرية النّظم (الخطابي الباقلّاني، إعجاز القرآن)</w:t>
                  </w:r>
                </w:p>
              </w:tc>
              <w:tc>
                <w:tcPr>
                  <w:tcW w:w="319" w:type="pct"/>
                  <w:vAlign w:val="center"/>
                </w:tcPr>
                <w:p w14:paraId="38491B4D" w14:textId="60FEBCDE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FE2CC1" w:rsidRPr="00CE59F4" w14:paraId="4AAC5394" w14:textId="77777777" w:rsidTr="00BE12B7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0BF438ED" w14:textId="72A73B6E" w:rsidR="00FE2CC1" w:rsidRPr="00FE2CC1" w:rsidRDefault="00FE2CC1" w:rsidP="00FE2CC1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النّقد البلاغي (نماذج نصية من المشرق </w:t>
                  </w:r>
                  <w:proofErr w:type="gramStart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والأندلس</w:t>
                  </w:r>
                  <w:proofErr w:type="gramEnd"/>
                  <w:r w:rsidRPr="00FE2CC1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والمغرب العربي)</w:t>
                  </w:r>
                </w:p>
              </w:tc>
              <w:tc>
                <w:tcPr>
                  <w:tcW w:w="319" w:type="pct"/>
                  <w:vAlign w:val="center"/>
                </w:tcPr>
                <w:p w14:paraId="31209978" w14:textId="53BCC591" w:rsidR="00FE2CC1" w:rsidRPr="00CE59F4" w:rsidRDefault="00FE2CC1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BE12B7">
        <w:trPr>
          <w:trHeight w:val="510"/>
        </w:trPr>
        <w:tc>
          <w:tcPr>
            <w:tcW w:w="10042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623DD6CB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BE12B7">
        <w:trPr>
          <w:trHeight w:val="510"/>
        </w:trPr>
        <w:tc>
          <w:tcPr>
            <w:tcW w:w="523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6267774" w14:textId="2F7A8A70" w:rsidR="00BE12B7" w:rsidRDefault="009A439A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A439A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مفهوم النّقد وتطوره في الث</w:t>
            </w:r>
            <w:r w:rsidR="00353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قافة العربية </w:t>
            </w:r>
          </w:p>
          <w:p w14:paraId="21C4632F" w14:textId="77777777" w:rsidR="00BE12B7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تراجم أعلام النّقد القديم في المشرق والمغرب والاندلس </w:t>
            </w:r>
          </w:p>
          <w:p w14:paraId="305512EE" w14:textId="77777777" w:rsidR="00BE12B7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المصنّفات النّقدية القديمة في المشرق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والمغرب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665A16B8" w14:textId="0B1DC38E" w:rsidR="00BE12B7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الن</w:t>
            </w:r>
            <w:r w:rsidR="00353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قد الانطباعي مفهومه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ومجالاته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44613005" w14:textId="087E4DE0" w:rsidR="00BE12B7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أثر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القرآن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الكريم في النّقد القديم خلال العصور المختلفة </w:t>
            </w:r>
          </w:p>
          <w:p w14:paraId="4890AC59" w14:textId="77777777" w:rsidR="00BE12B7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المعايير النّقدية في كتاب طبقات فحول الشعراء </w:t>
            </w:r>
          </w:p>
          <w:p w14:paraId="27530DD1" w14:textId="0FE3E266" w:rsidR="009A439A" w:rsidRPr="005412A6" w:rsidRDefault="00BE12B7" w:rsidP="00353388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قضايا الن</w:t>
            </w:r>
            <w:r w:rsidR="00353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قد القديم؛ الانتحال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اللّفظ والمعنى- الفحول- عمود الشعر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الصدق الفنّي- الموازنات الشعرية النقد البلاغي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80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6BFC4D82" w:rsidR="005412A6" w:rsidRPr="005412A6" w:rsidRDefault="009A439A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التّرابط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بين مضامين ومحتويات المواد التّعليمية بشكل متناسق لضمان وعي تاريخي ولغوي وأدبي يُمكّن المتعلّم من التّطوّر الذّهني بالموازاة مع المعارف التي يتلقّاها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BE12B7">
        <w:trPr>
          <w:trHeight w:val="510"/>
        </w:trPr>
        <w:tc>
          <w:tcPr>
            <w:tcW w:w="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2B44082" w14:textId="71B968C1" w:rsidR="00353388" w:rsidRDefault="00353388" w:rsidP="00353388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697CBF26" w14:textId="21CDE34F" w:rsidR="00353388" w:rsidRDefault="00353388" w:rsidP="00353388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22DFCEEB" w14:textId="6C335C0C" w:rsidR="00353388" w:rsidRDefault="00353388" w:rsidP="00353388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كشف النقاط </w:t>
            </w:r>
          </w:p>
          <w:p w14:paraId="095F22FC" w14:textId="005605E9" w:rsidR="00353388" w:rsidRDefault="00353388" w:rsidP="00353388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7F2D7244" w14:textId="77777777" w:rsidR="00C1100D" w:rsidRDefault="00353388" w:rsidP="00353388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المعارف المسبقة </w:t>
            </w:r>
            <w:r w:rsidR="009A43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معرفة سابقة بتاريخ الثّقافة العربية والدّول القديمة والإسلامية وكذلك 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بأوّليات النّقد العربي القديم</w:t>
            </w:r>
            <w:r w:rsidR="009A43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وأهمّ أعلامه وبعض قضاياه </w:t>
            </w:r>
          </w:p>
          <w:p w14:paraId="6A517813" w14:textId="681AAEE4" w:rsidR="00353388" w:rsidRPr="007864D0" w:rsidRDefault="00353388" w:rsidP="0035338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خلفية معرفية في الثّقافة العربية </w:t>
            </w:r>
          </w:p>
        </w:tc>
      </w:tr>
      <w:tr w:rsidR="005755D2" w:rsidRPr="00485EE0" w14:paraId="0F51054B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BE12B7">
        <w:trPr>
          <w:trHeight w:val="510"/>
        </w:trPr>
        <w:tc>
          <w:tcPr>
            <w:tcW w:w="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401D8E05" w:rsidR="008D19E4" w:rsidRPr="007864D0" w:rsidRDefault="00FB68B4" w:rsidP="00BE12B7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تقي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 معارف مختلفة؛ تاريخية وأدبية وبلاغية ولغوية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وتعلّم كيفيات 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نقد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النّصوص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وفهم أصولها الفكرية والاجتماعية  وفهمها وتحليلها وإ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دراك ما يتطابق معها في الفترة الزمنية والمعنى والأسلوب والتّفريق بينها وبين أزمنة لاحقة وأساليب مختلفة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98040" w14:textId="445D088B" w:rsidR="008D19E4" w:rsidRPr="008D19E4" w:rsidRDefault="00FB68B4" w:rsidP="00BE12B7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إدراك معرفة تاريخية </w:t>
            </w:r>
            <w:r w:rsidR="00BE12B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ونقدية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BE12B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وإدراك أهمّ قضاياه </w:t>
            </w:r>
          </w:p>
        </w:tc>
      </w:tr>
      <w:tr w:rsidR="00F678B8" w:rsidRPr="00485EE0" w14:paraId="0156A893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BE12B7">
        <w:trPr>
          <w:trHeight w:val="510"/>
        </w:trPr>
        <w:tc>
          <w:tcPr>
            <w:tcW w:w="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3471254B" w:rsidR="0087022A" w:rsidRPr="007864D0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تقديم بطاقة قراءة- تحليل نص</w:t>
            </w:r>
            <w:r w:rsidR="00353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حول المواد العلمية- المشاركة في النّقاش الجماعي </w:t>
            </w:r>
          </w:p>
        </w:tc>
        <w:tc>
          <w:tcPr>
            <w:tcW w:w="48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نظام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BE12B7">
        <w:trPr>
          <w:trHeight w:val="510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68F5B022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نهاية السداسي </w:t>
            </w:r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5F83E729" w:rsidR="0087022A" w:rsidRPr="00201141" w:rsidRDefault="0087022A" w:rsidP="003533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35338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نقد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أدبي قديم</w:t>
            </w:r>
            <w:r w:rsidR="0035338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BC193E" w:rsidRPr="00485EE0" w14:paraId="190A2234" w14:textId="77777777" w:rsidTr="00BE12B7">
        <w:trPr>
          <w:trHeight w:val="510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22F61200" w:rsidR="00BC193E" w:rsidRPr="007864D0" w:rsidRDefault="0094179A" w:rsidP="00BE12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تكليف الطالب بأعمال فردية  مثل إنجاز بطاقات قراءة لمؤلّفا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 أو الاطّلاع على معارف خاصة ب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مادّة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النقد العربي القديم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وإنجاز بحوث حول مسائل متعلّقة </w:t>
            </w:r>
            <w:r w:rsidR="00BE12B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بها</w:t>
            </w:r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BE12B7">
        <w:trPr>
          <w:trHeight w:val="510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069ED3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7AFB65A5" w:rsidR="00353388" w:rsidRPr="007864D0" w:rsidRDefault="00353388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التّوجيه نحو الشعبة في السنة الثانية </w:t>
            </w:r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B47BA44" w14:textId="082C9712" w:rsidR="00BE12B7" w:rsidRPr="00CE59F4" w:rsidRDefault="00BE12B7" w:rsidP="00BE12B7">
            <w:pPr>
              <w:spacing w:after="0" w:line="240" w:lineRule="auto"/>
              <w:jc w:val="both"/>
              <w:rPr>
                <w:rFonts w:ascii="Microsoft Uighur" w:hAnsi="Microsoft Uighur" w:cs="Microsoft Uighur"/>
                <w:b/>
                <w:sz w:val="36"/>
                <w:szCs w:val="36"/>
                <w:lang w:bidi="ar-DZ"/>
              </w:rPr>
            </w:pPr>
          </w:p>
          <w:p w14:paraId="79C17B92" w14:textId="77777777" w:rsidR="00BE12B7" w:rsidRPr="00337140" w:rsidRDefault="00BE12B7" w:rsidP="00BE12B7">
            <w:pPr>
              <w:pStyle w:val="Titre5"/>
              <w:numPr>
                <w:ilvl w:val="0"/>
                <w:numId w:val="34"/>
              </w:numPr>
              <w:bidi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عثمان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موافي</w:t>
            </w:r>
            <w:proofErr w:type="spell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الخصومة بين القدماء والمحدَثين في النّقد العربي القديم</w:t>
            </w:r>
          </w:p>
          <w:p w14:paraId="591A151E" w14:textId="77777777" w:rsidR="00BE12B7" w:rsidRPr="00337140" w:rsidRDefault="00BE12B7" w:rsidP="00BE12B7">
            <w:pPr>
              <w:pStyle w:val="Titre5"/>
              <w:numPr>
                <w:ilvl w:val="0"/>
                <w:numId w:val="34"/>
              </w:numPr>
              <w:bidi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بدوى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طبانة</w:t>
            </w:r>
            <w:proofErr w:type="spell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، قضايا النّقد الأدبي </w:t>
            </w:r>
          </w:p>
          <w:p w14:paraId="58A90919" w14:textId="77777777" w:rsidR="00BE12B7" w:rsidRPr="00337140" w:rsidRDefault="00BE12B7" w:rsidP="00BE12B7">
            <w:pPr>
              <w:pStyle w:val="Titre5"/>
              <w:numPr>
                <w:ilvl w:val="0"/>
                <w:numId w:val="34"/>
              </w:numPr>
              <w:bidi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عفّت الشرقاوي، دروسٌ ونصوص في قضايا الأدب الجاهلي </w:t>
            </w:r>
          </w:p>
          <w:p w14:paraId="67CEDED1" w14:textId="77777777" w:rsidR="00BE12B7" w:rsidRPr="00337140" w:rsidRDefault="00BE12B7" w:rsidP="00BE12B7">
            <w:pPr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محمّد بن سلّام الجمحي، طبقات فحول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الشعراء،تحقيق</w:t>
            </w:r>
            <w:proofErr w:type="spell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محمود محمّد شاكر </w:t>
            </w:r>
          </w:p>
          <w:p w14:paraId="0646F6DC" w14:textId="77777777" w:rsidR="00BE12B7" w:rsidRPr="00337140" w:rsidRDefault="00BE12B7" w:rsidP="00BE12B7">
            <w:pPr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eastAsia="Calibri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محمّد بن مسلم بن قتيبة، الشعر والشعراء، تحقيق أحمد محمّد شاكر</w:t>
            </w:r>
          </w:p>
          <w:p w14:paraId="6B78FDDB" w14:textId="77777777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قدامة بن جعفر، نقد الشعر ، تحقيق كمال مصطفى </w:t>
            </w:r>
          </w:p>
          <w:p w14:paraId="1BAFB3A5" w14:textId="77777777" w:rsidR="00BE12B7" w:rsidRPr="00337140" w:rsidRDefault="00BE12B7" w:rsidP="00BE12B7">
            <w:pPr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أسامة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بن منقذ، لباب الآداب، تحقيق أحمد محمّد شاكر </w:t>
            </w:r>
          </w:p>
          <w:p w14:paraId="3E8B88CC" w14:textId="77777777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أبو علي أحمد المرزوقي، شرحُ ديوان الحماسة، تحقيق أحمد أمين وعبد السلام هارون </w:t>
            </w:r>
          </w:p>
          <w:p w14:paraId="0A0BDB5F" w14:textId="77777777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أبو الحسن بن رشيق القيرواني، العمدة في محاسن الشعر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وآدابه، تحقيق: محمد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قرقزان</w:t>
            </w:r>
            <w:proofErr w:type="spellEnd"/>
          </w:p>
          <w:p w14:paraId="03EB7626" w14:textId="77777777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ابن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طباطبا</w:t>
            </w:r>
            <w:proofErr w:type="spell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، عيار الشعر، تحقيق طه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الحاجري</w:t>
            </w:r>
            <w:proofErr w:type="spellEnd"/>
          </w:p>
          <w:p w14:paraId="3729EF26" w14:textId="29883B51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lastRenderedPageBreak/>
              <w:t xml:space="preserve">أبو هلال العسكري، كتاب الصناعتين؛ الكتابة والشعر، تحقيق محمّد البجاوي  </w:t>
            </w:r>
          </w:p>
          <w:p w14:paraId="5EC8598C" w14:textId="77777777" w:rsidR="00BE12B7" w:rsidRPr="00337140" w:rsidRDefault="00BE12B7" w:rsidP="00BE12B7">
            <w:pPr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جابر عصفور،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قراءةُ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التّراث النّقدي </w:t>
            </w:r>
          </w:p>
          <w:p w14:paraId="17C1AF0A" w14:textId="77777777" w:rsidR="00BE12B7" w:rsidRPr="00337140" w:rsidRDefault="00BE12B7" w:rsidP="00BE12B7">
            <w:pPr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محمد زغلول سلام، أثر القرآن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تطور النّقد العربي إلى آخر القرن الرابع الهجري</w:t>
            </w:r>
          </w:p>
          <w:p w14:paraId="319B32EA" w14:textId="77777777" w:rsidR="00BE12B7" w:rsidRPr="00337140" w:rsidRDefault="00BE12B7" w:rsidP="00BE12B7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ind w:left="643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وليد عثماني، مفهوم الفحولة وموض</w:t>
            </w:r>
            <w:bookmarkStart w:id="0" w:name="_GoBack"/>
            <w:bookmarkEnd w:id="0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وعاتها في الشعرية العربية القديمة </w:t>
            </w:r>
          </w:p>
          <w:p w14:paraId="2EEF150B" w14:textId="61D1BFCC" w:rsidR="00201141" w:rsidRPr="00337140" w:rsidRDefault="00BE12B7" w:rsidP="00BE12B7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br w:type="page"/>
            </w:r>
            <w:r w:rsidR="00201141"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الموقع الإلكتروني لديوان المطبوعات الجامعية. الجزائر  </w:t>
            </w:r>
            <w:r w:rsidR="00201141"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  <w:t>https://opu.dz/ar</w:t>
            </w:r>
          </w:p>
          <w:p w14:paraId="558FE334" w14:textId="5561AB6B" w:rsidR="006140AE" w:rsidRPr="00337140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337140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</w:rPr>
                <w:t>https://biblionat.dz</w:t>
              </w:r>
              <w:r w:rsidR="006140AE" w:rsidRPr="00337140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rtl/>
                </w:rPr>
                <w:t>/</w:t>
              </w:r>
            </w:hyperlink>
          </w:p>
          <w:p w14:paraId="0F335816" w14:textId="13A3D96B" w:rsidR="006140AE" w:rsidRPr="00337140" w:rsidRDefault="006140AE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</w:pPr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النّظام الوطني للتّوثيق عبر </w:t>
            </w:r>
            <w:proofErr w:type="gramStart"/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>الخط</w:t>
            </w:r>
            <w:proofErr w:type="gramEnd"/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 </w:t>
            </w:r>
            <w:hyperlink r:id="rId10" w:history="1">
              <w:r w:rsidRPr="00337140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lang w:val="fr-FR"/>
                </w:rPr>
                <w:t>www.sndl.cerist.dz</w:t>
              </w:r>
            </w:hyperlink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>المكتبة</w:t>
            </w:r>
            <w:proofErr w:type="gramEnd"/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 xml:space="preserve"> الرقمية السعودية </w:t>
            </w:r>
            <w:r w:rsidRPr="00337140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BE12B7">
        <w:trPr>
          <w:trHeight w:val="510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1EBADFDC" w:rsidR="0087022A" w:rsidRPr="005412A6" w:rsidRDefault="0087022A" w:rsidP="00337140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33714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نقد</w:t>
            </w:r>
            <w:proofErr w:type="gramEnd"/>
            <w:r w:rsidR="00337140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أدبي قديم 1</w:t>
            </w:r>
          </w:p>
        </w:tc>
      </w:tr>
      <w:tr w:rsidR="0087022A" w:rsidRPr="00485EE0" w14:paraId="502ED2A7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المحاور والمفاهيم المستهدفة</w:t>
            </w:r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 المستهدفة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14:paraId="171D7CBC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5B2D28" w14:textId="722CBDBB" w:rsidR="0087022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النّقد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العربي؛ مفهومه وتطوّره وأعلامه في المشرق والمغرب العربي</w:t>
            </w:r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1C5CF203" w:rsidR="0087022A" w:rsidRPr="00337140" w:rsidRDefault="006140AE" w:rsidP="00BE12B7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 xml:space="preserve"> القدرة على </w:t>
            </w:r>
            <w:r w:rsidR="00BE12B7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 xml:space="preserve">إدراك مفهوم النّقد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14:paraId="0B24D2E1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32F69F58" w:rsidR="0087022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تراجم أعلام النّقد في المشرق والمغرب العربي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والأندلس</w:t>
            </w:r>
            <w:proofErr w:type="gramEnd"/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34BD0B79" w:rsidR="0087022A" w:rsidRPr="00337140" w:rsidRDefault="006140AE" w:rsidP="00BE12B7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E12B7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معرفة أعلام النّقد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87022A" w:rsidRPr="00485EE0" w14:paraId="2A75A0BC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028B8DD0" w:rsidR="0087022A" w:rsidRPr="00337140" w:rsidRDefault="00BE12B7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المصنّفات النّقدية في المشرق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والمغرب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العربي</w:t>
            </w:r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51F4E709" w:rsidR="0087022A" w:rsidRPr="00337140" w:rsidRDefault="006140AE" w:rsidP="00CC709E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إدراك مختلف المصنّفات النّقدية العربية </w:t>
            </w:r>
            <w:proofErr w:type="gramStart"/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القديمة 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87022A" w:rsidRPr="00485EE0" w14:paraId="0EED30C9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2469A5B8" w:rsidR="0087022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النّقد الانطباعي؛ مفهومه ومجالاته ونماذج من نصوصه ( أمّ جندب، النّابغة الذبياني)</w:t>
            </w:r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1DB3B" w14:textId="1E66D11F" w:rsidR="0087022A" w:rsidRPr="00337140" w:rsidRDefault="006140AE" w:rsidP="00CC709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معرفة أشكال النقد الجاهلي 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87022A" w:rsidRPr="00485EE0" w14:paraId="77501913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453E1C5E" w:rsidR="0087022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أثر القرآن الكريم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تطوّر الآراء النّقدية القديمة</w:t>
            </w:r>
          </w:p>
        </w:tc>
        <w:tc>
          <w:tcPr>
            <w:tcW w:w="28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033524C2" w:rsidR="0087022A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إدراك الأثر المهمّ للقرآن الكريم في الوعي النّقدي العربي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87022A" w:rsidRPr="00485EE0" w14:paraId="1D28BADA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08002104" w:rsidR="0087022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المعايير النّقدية في كتاب طبقات فحول الشعراء لابن سلّام الجمحي</w:t>
            </w:r>
          </w:p>
        </w:tc>
        <w:tc>
          <w:tcPr>
            <w:tcW w:w="282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571F3A8A" w:rsidR="0087022A" w:rsidRPr="00337140" w:rsidRDefault="006140AE" w:rsidP="00CC709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إدراك </w:t>
            </w:r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المعايير النقدية 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CC709E" w:rsidRPr="00485EE0" w14:paraId="3FE32D68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1E66D933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قضية ا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لانتحال 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وتأصيل الشعر (ابن سلّام، عبد العزيز الجرجاني، أبو هلال العسكري . نماذج نصية  من المشرق والمغرب العربي )</w:t>
            </w:r>
          </w:p>
        </w:tc>
        <w:tc>
          <w:tcPr>
            <w:tcW w:w="2825" w:type="dxa"/>
            <w:gridSpan w:val="7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5DE503" w14:textId="77777777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إدراك قضايا النقد العربي القديم </w:t>
            </w:r>
          </w:p>
          <w:p w14:paraId="480C4C9E" w14:textId="437BD0C9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CC709E" w:rsidRPr="00485EE0" w14:paraId="18A386AA" w14:textId="77777777" w:rsidTr="00432EF4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F8E2BD" w14:textId="705236E2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قضية الفحولة عند النّقاد (الجاحظ ...</w:t>
            </w:r>
          </w:p>
        </w:tc>
        <w:tc>
          <w:tcPr>
            <w:tcW w:w="2825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0B26AA3F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CC709E" w:rsidRPr="00485EE0" w14:paraId="581869A2" w14:textId="77777777" w:rsidTr="00432EF4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72C10327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قضية عمود الشعر (المرزوقي)</w:t>
            </w:r>
          </w:p>
        </w:tc>
        <w:tc>
          <w:tcPr>
            <w:tcW w:w="2825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0249437A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CC709E" w:rsidRPr="00485EE0" w14:paraId="2DFC4DA3" w14:textId="77777777" w:rsidTr="00432EF4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68755796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قضية اللّفظ والمعنى عند ابن قتيبة وابن </w:t>
            </w:r>
            <w:proofErr w:type="spell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طباطبا</w:t>
            </w:r>
            <w:proofErr w:type="spell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وقدامه بن جعفر</w:t>
            </w:r>
          </w:p>
        </w:tc>
        <w:tc>
          <w:tcPr>
            <w:tcW w:w="2825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8960261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CC709E" w:rsidRPr="00485EE0" w14:paraId="5EAA049E" w14:textId="77777777" w:rsidTr="00432EF4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1208D54" w14:textId="063C596D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قضية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اللّفظ والمعنى عند ابن رشيق القيرواني/ المقْري</w:t>
            </w:r>
          </w:p>
        </w:tc>
        <w:tc>
          <w:tcPr>
            <w:tcW w:w="2825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33FC88B4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CC709E" w:rsidRPr="00485EE0" w14:paraId="42924847" w14:textId="77777777" w:rsidTr="00432EF4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5ABEE4" w14:textId="1DCB7441" w:rsidR="00CC709E" w:rsidRPr="00337140" w:rsidRDefault="00CC709E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lastRenderedPageBreak/>
              <w:t xml:space="preserve">قضية الصدق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(نماذج  من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المشرق والأندلس والمغرب العربي)</w:t>
            </w:r>
          </w:p>
        </w:tc>
        <w:tc>
          <w:tcPr>
            <w:tcW w:w="2825" w:type="dxa"/>
            <w:gridSpan w:val="7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4B548D1F" w:rsidR="00CC709E" w:rsidRPr="00337140" w:rsidRDefault="00CC709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CC709E" w:rsidRDefault="00CC709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795DCA" w:rsidRPr="00485EE0" w14:paraId="2507A17E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DEDE5CF" w14:textId="48FB832C" w:rsidR="00795DCA" w:rsidRPr="00337140" w:rsidRDefault="00BE12B7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الموازنات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النّقدية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(نماذج نصية من المشرق والأندلس والمغرب العربي)</w:t>
            </w:r>
          </w:p>
        </w:tc>
        <w:tc>
          <w:tcPr>
            <w:tcW w:w="28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4" w14:textId="71209D6B" w:rsidR="00795DCA" w:rsidRPr="00337140" w:rsidRDefault="00795DCA" w:rsidP="00CC709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الموازنة بين النّصوص بالنّظر إلى خصوصياتها 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795DCA" w:rsidRDefault="00795DC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BE12B7" w:rsidRPr="00485EE0" w14:paraId="73F93500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6DB7A6" w14:textId="54E82B0D" w:rsidR="00BE12B7" w:rsidRPr="00337140" w:rsidRDefault="00BE12B7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نظرية النّظم (الخطابي الباقلّاني، إعجاز القرآن)</w:t>
            </w:r>
          </w:p>
        </w:tc>
        <w:tc>
          <w:tcPr>
            <w:tcW w:w="28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3884" w14:textId="417D273B" w:rsidR="00BE12B7" w:rsidRPr="00337140" w:rsidRDefault="00BE12B7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BE12B7" w:rsidRDefault="00BE12B7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BE12B7" w:rsidRPr="00485EE0" w14:paraId="0EF71A42" w14:textId="77777777" w:rsidTr="00BE12B7">
        <w:trPr>
          <w:trHeight w:val="510"/>
        </w:trPr>
        <w:tc>
          <w:tcPr>
            <w:tcW w:w="607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A734699" w14:textId="5B3E3FAC" w:rsidR="00BE12B7" w:rsidRPr="00337140" w:rsidRDefault="00BE12B7" w:rsidP="006140AE">
            <w:pPr>
              <w:spacing w:after="0" w:line="276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النّقد البلاغي (نماذج نصية من المشرق </w:t>
            </w:r>
            <w:proofErr w:type="gramStart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والأندلس</w:t>
            </w:r>
            <w:proofErr w:type="gramEnd"/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والمغرب العربي)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053" w14:textId="41694EB9" w:rsidR="00BE12B7" w:rsidRPr="00337140" w:rsidRDefault="00BE12B7" w:rsidP="00CC709E">
            <w:pPr>
              <w:spacing w:after="0" w:line="276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</w:pP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  <w:t xml:space="preserve">القدرة على </w:t>
            </w:r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  <w:t xml:space="preserve">استعمال البلاغة في النّقد كرؤية وآليات أسلوبية </w:t>
            </w:r>
            <w:proofErr w:type="gramStart"/>
            <w:r w:rsidR="00CC709E"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  <w:t xml:space="preserve">ولغوية </w:t>
            </w:r>
            <w:r w:rsidRPr="00337140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  <w:t xml:space="preserve"> </w:t>
            </w:r>
            <w:proofErr w:type="gramEnd"/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2CAB2" w14:textId="63714832" w:rsidR="00BE12B7" w:rsidRDefault="00BE12B7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BE12B7" w:rsidRPr="00485EE0" w14:paraId="5C16364F" w14:textId="77777777" w:rsidTr="00BE12B7">
        <w:trPr>
          <w:trHeight w:val="567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BE12B7" w:rsidRPr="00930EE7" w:rsidRDefault="00BE12B7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BE12B7" w:rsidRPr="00485EE0" w14:paraId="1B5C8C3D" w14:textId="77777777" w:rsidTr="00BE12B7">
        <w:trPr>
          <w:trHeight w:val="533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DB324DB" w14:textId="78C1986A" w:rsidR="00BE12B7" w:rsidRPr="00337140" w:rsidRDefault="00BE12B7" w:rsidP="0033714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أولا، </w:t>
            </w:r>
            <w:r w:rsidRPr="005A73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الكفاءات في الاختصاص  </w:t>
            </w:r>
          </w:p>
          <w:p w14:paraId="7C99B488" w14:textId="3655DEB2" w:rsidR="00BE12B7" w:rsidRPr="005A7302" w:rsidRDefault="00BE12B7" w:rsidP="00CC709E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فهم النّصوص </w:t>
            </w:r>
            <w:r w:rsidR="00CC709E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الأدبية </w:t>
            </w:r>
            <w:proofErr w:type="gramStart"/>
            <w:r w:rsidR="00CC709E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القديمة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End"/>
          </w:p>
          <w:p w14:paraId="021227E5" w14:textId="77777777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النّقد والتّحليل العقلاني والموضوعي للمواد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المعرفية  </w:t>
            </w:r>
            <w:proofErr w:type="gramEnd"/>
          </w:p>
          <w:p w14:paraId="12C8085D" w14:textId="0EFD2BB1" w:rsidR="00BE12B7" w:rsidRPr="00CC709E" w:rsidRDefault="00BE12B7" w:rsidP="00CC709E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التّدقيق اللّغوي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والتّحديد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الدّلالي السليم، من أجل إنجاز تواصل فعّال.</w:t>
            </w:r>
          </w:p>
          <w:p w14:paraId="1EF59035" w14:textId="77777777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انتقاء المعلومة وتعزيز الشعور بالثّقة والاستقلالية في التّفكير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والمبادرة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14:paraId="4DAA127A" w14:textId="77777777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تنمية الفكر النّقدي </w:t>
            </w:r>
          </w:p>
          <w:p w14:paraId="5ACB17C2" w14:textId="141D05E1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ممارسة التّقييم الذا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تي </w:t>
            </w:r>
          </w:p>
          <w:p w14:paraId="0BAAF94B" w14:textId="528A0D6D" w:rsidR="00BE12B7" w:rsidRDefault="00BE12B7" w:rsidP="005A7302">
            <w:pPr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ثانيا، </w:t>
            </w:r>
            <w:proofErr w:type="gramStart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>
              <w:rPr>
                <w:rFonts w:ascii="Sakkal Majalla" w:eastAsia="Yu Gothic UI Semibold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العرضية </w:t>
            </w:r>
          </w:p>
          <w:p w14:paraId="0A78F427" w14:textId="77777777" w:rsidR="00CC709E" w:rsidRDefault="00CC709E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على 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الاندماج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مسار الشعبة واختيار التّخصّصات ابتداء من السنة الثالثة،  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</w:rPr>
              <w:t>بناء على المكتسبات المحصّلة وانطلاقا من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مفهوم الميدان والشعبة والتّخصّصات </w:t>
            </w:r>
          </w:p>
          <w:p w14:paraId="7BBDFBA3" w14:textId="5D3B3DE1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العمل الفردي والعمل ال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جماعي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في إنجاز البحوث </w:t>
            </w:r>
            <w:proofErr w:type="gram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والأعمال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المختلفة ونشر المعرفة بين المتعلّمين.</w:t>
            </w:r>
          </w:p>
          <w:p w14:paraId="27F831E5" w14:textId="77777777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السوسيو</w:t>
            </w:r>
            <w:proofErr w:type="spell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-ثقافي والتّفاعل الإيجابي مع الموروث الثّقافي الوطني.</w:t>
            </w:r>
          </w:p>
          <w:p w14:paraId="5B2E5415" w14:textId="1BDFC8C7" w:rsidR="00BE12B7" w:rsidRPr="005A7302" w:rsidRDefault="00BE12B7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القدرة على التّغلّب على المعوّقات النّفسية وتعزيز الث</w:t>
            </w:r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قة بالنّفس </w:t>
            </w:r>
            <w:proofErr w:type="gramStart"/>
            <w:r w:rsidRPr="005A7302">
              <w:rPr>
                <w:rFonts w:ascii="Sakkal Majalla" w:eastAsia="Yu Gothic UI Semibold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الاستماع</w:t>
            </w:r>
            <w:proofErr w:type="gramEnd"/>
            <w:r w:rsidRPr="005A7302">
              <w:rPr>
                <w:rFonts w:ascii="Sakkal Majalla" w:eastAsia="Yu Gothic UI Semibold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الجيّد والكلام أمام النّاس</w:t>
            </w:r>
          </w:p>
        </w:tc>
      </w:tr>
      <w:tr w:rsidR="00BE12B7" w:rsidRPr="00485EE0" w14:paraId="1EC79AEE" w14:textId="77777777" w:rsidTr="00BE12B7">
        <w:trPr>
          <w:trHeight w:val="507"/>
        </w:trPr>
        <w:tc>
          <w:tcPr>
            <w:tcW w:w="1004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49A164EC" w:rsidR="00BE12B7" w:rsidRPr="00E427E2" w:rsidRDefault="00BE12B7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BE12B7" w:rsidRPr="00485EE0" w14:paraId="2D2BF01B" w14:textId="77777777" w:rsidTr="00BE12B7">
        <w:trPr>
          <w:trHeight w:val="507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D32DA2" w14:textId="0540D71E" w:rsidR="00BE12B7" w:rsidRPr="00795DCA" w:rsidRDefault="00BE12B7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كتابي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آخر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السداسي ويتضمن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أسئلة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الإدراك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والمعرفة 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التحليل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والفهم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الاستنباط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قياس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بنسبة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60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المعدل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العام</w:t>
            </w:r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D57D" w14:textId="113FFB6F" w:rsidR="00BE12B7" w:rsidRDefault="00BE12B7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BE12B7" w:rsidRPr="00485EE0" w14:paraId="71FF33AC" w14:textId="77777777" w:rsidTr="00BE12B7">
        <w:trPr>
          <w:trHeight w:val="507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9E7B1CA" w:rsidR="00BE12B7" w:rsidRPr="00795DCA" w:rsidRDefault="00BE12B7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الاعمال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الموجهة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المقسمة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بين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</w:t>
            </w: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وغيرها</w:t>
            </w:r>
            <w:proofErr w:type="gramEnd"/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5C8CE42A" w:rsidR="00BE12B7" w:rsidRDefault="00BE12B7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BE12B7" w:rsidRPr="00485EE0" w14:paraId="74E20501" w14:textId="77777777" w:rsidTr="00BE12B7">
        <w:trPr>
          <w:trHeight w:val="507"/>
        </w:trPr>
        <w:tc>
          <w:tcPr>
            <w:tcW w:w="50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0FD2D5DD" w:rsidR="00BE12B7" w:rsidRPr="00795DCA" w:rsidRDefault="00BE12B7" w:rsidP="00CC709E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أجل تحقيق الكفاءات المستهدفة في المادة التّعليمية </w:t>
            </w:r>
            <w:r w:rsidR="00CC709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نقد أدبي قديم 1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واستيعاب المعرفة المقدّمة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المحاضر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ات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في المحاضرة والأعمال الموجّهة والمساهمة في النّقاش وتبادل الآراء وتقديم اعمال وبحوث فردية وجماعية </w:t>
            </w:r>
          </w:p>
        </w:tc>
        <w:tc>
          <w:tcPr>
            <w:tcW w:w="5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07D7E" w14:textId="77777777" w:rsidR="00BE12B7" w:rsidRDefault="00BE12B7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3AF4152A" w:rsidR="00BE12B7" w:rsidRPr="00767365" w:rsidRDefault="00BE12B7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3371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</w:t>
            </w:r>
            <w:r w:rsidR="003371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3371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proofErr w:type="gramEnd"/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9C40F" w14:textId="77777777" w:rsidR="00F116D2" w:rsidRDefault="00F116D2" w:rsidP="00F12901">
      <w:pPr>
        <w:spacing w:after="0" w:line="240" w:lineRule="auto"/>
      </w:pPr>
      <w:r>
        <w:separator/>
      </w:r>
    </w:p>
  </w:endnote>
  <w:endnote w:type="continuationSeparator" w:id="0">
    <w:p w14:paraId="7AA8A57D" w14:textId="77777777" w:rsidR="00F116D2" w:rsidRDefault="00F116D2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40" w:rsidRPr="00337140">
          <w:rPr>
            <w:noProof/>
            <w:rtl/>
            <w:lang w:val="fr-FR"/>
          </w:rPr>
          <w:t>4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D2D5C" w14:textId="77777777" w:rsidR="00F116D2" w:rsidRDefault="00F116D2" w:rsidP="00F12901">
      <w:pPr>
        <w:spacing w:after="0" w:line="240" w:lineRule="auto"/>
      </w:pPr>
      <w:r>
        <w:separator/>
      </w:r>
    </w:p>
  </w:footnote>
  <w:footnote w:type="continuationSeparator" w:id="0">
    <w:p w14:paraId="4305F907" w14:textId="77777777" w:rsidR="00F116D2" w:rsidRDefault="00F116D2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6AD2"/>
    <w:multiLevelType w:val="hybridMultilevel"/>
    <w:tmpl w:val="D3B0A2C2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8"/>
  </w:num>
  <w:num w:numId="5">
    <w:abstractNumId w:val="9"/>
  </w:num>
  <w:num w:numId="6">
    <w:abstractNumId w:val="16"/>
  </w:num>
  <w:num w:numId="7">
    <w:abstractNumId w:val="4"/>
  </w:num>
  <w:num w:numId="8">
    <w:abstractNumId w:val="27"/>
  </w:num>
  <w:num w:numId="9">
    <w:abstractNumId w:val="6"/>
  </w:num>
  <w:num w:numId="10">
    <w:abstractNumId w:val="33"/>
  </w:num>
  <w:num w:numId="11">
    <w:abstractNumId w:val="21"/>
  </w:num>
  <w:num w:numId="12">
    <w:abstractNumId w:val="13"/>
  </w:num>
  <w:num w:numId="13">
    <w:abstractNumId w:val="0"/>
  </w:num>
  <w:num w:numId="14">
    <w:abstractNumId w:val="30"/>
  </w:num>
  <w:num w:numId="15">
    <w:abstractNumId w:val="28"/>
  </w:num>
  <w:num w:numId="16">
    <w:abstractNumId w:val="23"/>
  </w:num>
  <w:num w:numId="17">
    <w:abstractNumId w:val="15"/>
  </w:num>
  <w:num w:numId="18">
    <w:abstractNumId w:val="20"/>
  </w:num>
  <w:num w:numId="19">
    <w:abstractNumId w:val="8"/>
  </w:num>
  <w:num w:numId="20">
    <w:abstractNumId w:val="17"/>
  </w:num>
  <w:num w:numId="21">
    <w:abstractNumId w:val="1"/>
  </w:num>
  <w:num w:numId="22">
    <w:abstractNumId w:val="31"/>
  </w:num>
  <w:num w:numId="23">
    <w:abstractNumId w:val="10"/>
  </w:num>
  <w:num w:numId="24">
    <w:abstractNumId w:val="3"/>
  </w:num>
  <w:num w:numId="25">
    <w:abstractNumId w:val="7"/>
  </w:num>
  <w:num w:numId="26">
    <w:abstractNumId w:val="24"/>
  </w:num>
  <w:num w:numId="27">
    <w:abstractNumId w:val="2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  <w:num w:numId="32">
    <w:abstractNumId w:val="32"/>
  </w:num>
  <w:num w:numId="33">
    <w:abstractNumId w:val="12"/>
  </w:num>
  <w:num w:numId="34">
    <w:abstractNumId w:val="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10CB"/>
    <w:rsid w:val="002C2F2A"/>
    <w:rsid w:val="002D249F"/>
    <w:rsid w:val="002E4855"/>
    <w:rsid w:val="002E781F"/>
    <w:rsid w:val="00314DBA"/>
    <w:rsid w:val="00337140"/>
    <w:rsid w:val="00353388"/>
    <w:rsid w:val="00355FEE"/>
    <w:rsid w:val="00361888"/>
    <w:rsid w:val="0036272B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75C58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3D72"/>
    <w:rsid w:val="009C57E4"/>
    <w:rsid w:val="009D099C"/>
    <w:rsid w:val="009F0A77"/>
    <w:rsid w:val="00A00B78"/>
    <w:rsid w:val="00A025F5"/>
    <w:rsid w:val="00A1607C"/>
    <w:rsid w:val="00A25246"/>
    <w:rsid w:val="00A6794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A0BEF"/>
    <w:rsid w:val="00BB01F4"/>
    <w:rsid w:val="00BB22CF"/>
    <w:rsid w:val="00BC193E"/>
    <w:rsid w:val="00BE12B7"/>
    <w:rsid w:val="00C07716"/>
    <w:rsid w:val="00C1100D"/>
    <w:rsid w:val="00C279D1"/>
    <w:rsid w:val="00C419D2"/>
    <w:rsid w:val="00C63B9B"/>
    <w:rsid w:val="00C6529E"/>
    <w:rsid w:val="00C74636"/>
    <w:rsid w:val="00C91720"/>
    <w:rsid w:val="00CB172D"/>
    <w:rsid w:val="00CC709E"/>
    <w:rsid w:val="00CD1B79"/>
    <w:rsid w:val="00CD1D76"/>
    <w:rsid w:val="00CE7284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E1221"/>
    <w:rsid w:val="00EF0F62"/>
    <w:rsid w:val="00EF574F"/>
    <w:rsid w:val="00F0085C"/>
    <w:rsid w:val="00F0286E"/>
    <w:rsid w:val="00F07A1E"/>
    <w:rsid w:val="00F116D2"/>
    <w:rsid w:val="00F11F1A"/>
    <w:rsid w:val="00F12901"/>
    <w:rsid w:val="00F14D0D"/>
    <w:rsid w:val="00F33350"/>
    <w:rsid w:val="00F678B8"/>
    <w:rsid w:val="00F76D92"/>
    <w:rsid w:val="00F86974"/>
    <w:rsid w:val="00F930C3"/>
    <w:rsid w:val="00FA7094"/>
    <w:rsid w:val="00FB68B4"/>
    <w:rsid w:val="00FD2C77"/>
    <w:rsid w:val="00FD5033"/>
    <w:rsid w:val="00FE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paragraph" w:styleId="Titre5">
    <w:name w:val="heading 5"/>
    <w:basedOn w:val="Normal"/>
    <w:next w:val="Normal"/>
    <w:link w:val="Titre5Car"/>
    <w:qFormat/>
    <w:rsid w:val="00BE12B7"/>
    <w:pPr>
      <w:keepNext/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rsid w:val="00BE12B7"/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paragraph" w:styleId="Titre5">
    <w:name w:val="heading 5"/>
    <w:basedOn w:val="Normal"/>
    <w:next w:val="Normal"/>
    <w:link w:val="Titre5Car"/>
    <w:qFormat/>
    <w:rsid w:val="00BE12B7"/>
    <w:pPr>
      <w:keepNext/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rsid w:val="00BE12B7"/>
    <w:rPr>
      <w:rFonts w:ascii="Times New Roman" w:eastAsia="SimSun" w:hAnsi="Times New Roman" w:cs="Times New Roman"/>
      <w:kern w:val="0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ED01706-276C-4B6B-9A6E-506726A7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1445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7</cp:revision>
  <dcterms:created xsi:type="dcterms:W3CDTF">2025-05-28T14:10:00Z</dcterms:created>
  <dcterms:modified xsi:type="dcterms:W3CDTF">2025-05-29T12:13:00Z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